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(SIDeR)</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r w:rsidR="00E0454C" w:rsidRPr="000E1045">
                <w:rPr>
                  <w:rStyle w:val="Hyperlink"/>
                  <w:rFonts w:eastAsia="Calibri" w:cstheme="minorHAnsi"/>
                  <w:bCs/>
                </w:rPr>
                <w:t>https://www.somersetccg.nhs.uk/about-us/digital-projects/sider/</w:t>
              </w:r>
            </w:hyperlink>
          </w:p>
          <w:p w:rsidR="00B73DB2" w:rsidRPr="00545647" w:rsidRDefault="00B73DB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who will hold it in the patient’s record.</w:t>
            </w:r>
          </w:p>
          <w:p w:rsidR="004972B4" w:rsidRDefault="004972B4" w:rsidP="002312BB">
            <w:pPr>
              <w:jc w:val="both"/>
              <w:rPr>
                <w:rFonts w:eastAsia="Calibri" w:cstheme="minorHAnsi"/>
                <w:bCs/>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The laboratory that process the request and result are a controller of the data generated by the test process.</w:t>
            </w:r>
          </w:p>
          <w:p w:rsidR="004972B4" w:rsidRPr="00075C23" w:rsidRDefault="004972B4" w:rsidP="004972B4">
            <w:pPr>
              <w:autoSpaceDE w:val="0"/>
              <w:autoSpaceDN w:val="0"/>
              <w:adjustRightInd w:val="0"/>
              <w:rPr>
                <w:rFonts w:cstheme="minorHAnsi"/>
                <w:sz w:val="23"/>
                <w:szCs w:val="23"/>
              </w:rPr>
            </w:pPr>
          </w:p>
          <w:p w:rsidR="004972B4" w:rsidRPr="004972B4" w:rsidRDefault="004972B4" w:rsidP="002312BB">
            <w:pPr>
              <w:jc w:val="both"/>
              <w:rPr>
                <w:rFonts w:eastAsia="Calibri" w:cstheme="minorHAnsi"/>
                <w:bCs/>
              </w:rPr>
            </w:pPr>
          </w:p>
        </w:tc>
      </w:tr>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11321C" w:rsidRDefault="0011321C" w:rsidP="0011321C">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NHSEI</w:t>
            </w:r>
          </w:p>
          <w:p w:rsidR="00FC44D3" w:rsidRDefault="0011321C" w:rsidP="009A03A3">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7D74E1" w:rsidRPr="00075C23" w:rsidTr="00D64095">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994"/>
            </w:tblGrid>
            <w:tr w:rsidR="007D74E1" w:rsidRPr="007D74E1">
              <w:tblPrEx>
                <w:tblCellMar>
                  <w:top w:w="0" w:type="dxa"/>
                  <w:bottom w:w="0" w:type="dxa"/>
                </w:tblCellMar>
              </w:tblPrEx>
              <w:trPr>
                <w:trHeight w:val="110"/>
              </w:trPr>
              <w:tc>
                <w:tcPr>
                  <w:tcW w:w="0" w:type="auto"/>
                </w:tcPr>
                <w:p w:rsidR="007D74E1" w:rsidRPr="007D74E1" w:rsidRDefault="007D74E1" w:rsidP="007D74E1">
                  <w:pPr>
                    <w:autoSpaceDE w:val="0"/>
                    <w:autoSpaceDN w:val="0"/>
                    <w:adjustRightInd w:val="0"/>
                    <w:spacing w:after="0" w:line="240" w:lineRule="auto"/>
                    <w:rPr>
                      <w:rFonts w:ascii="Calibri" w:hAnsi="Calibri" w:cs="Calibri"/>
                      <w:color w:val="000000"/>
                    </w:rPr>
                  </w:pPr>
                  <w:r w:rsidRPr="007D74E1">
                    <w:rPr>
                      <w:rFonts w:ascii="Calibri" w:hAnsi="Calibri" w:cs="Calibri"/>
                      <w:color w:val="000000"/>
                    </w:rPr>
                    <w:lastRenderedPageBreak/>
                    <w:t xml:space="preserve">Clinical Digital Tools </w:t>
                  </w:r>
                </w:p>
              </w:tc>
            </w:tr>
          </w:tbl>
          <w:p w:rsidR="007D74E1" w:rsidRPr="00075C23" w:rsidRDefault="007D74E1" w:rsidP="00156742">
            <w:pPr>
              <w:rPr>
                <w:rFonts w:eastAsia="Calibri" w:cstheme="minorHAnsi"/>
                <w:bCs/>
              </w:rPr>
            </w:pPr>
          </w:p>
        </w:tc>
        <w:tc>
          <w:tcPr>
            <w:tcW w:w="6582" w:type="dxa"/>
            <w:tcBorders>
              <w:bottom w:val="single" w:sz="4" w:space="0" w:color="auto"/>
            </w:tcBorders>
          </w:tcPr>
          <w:p w:rsidR="007D74E1" w:rsidRDefault="007D74E1" w:rsidP="007D74E1">
            <w:pPr>
              <w:pStyle w:val="Default"/>
            </w:pPr>
            <w:r>
              <w:rPr>
                <w:b/>
                <w:bCs/>
                <w:sz w:val="22"/>
                <w:szCs w:val="22"/>
              </w:rPr>
              <w:t xml:space="preserve">Purpose – </w:t>
            </w:r>
            <w:r>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rsidR="007D74E1" w:rsidRPr="007D74E1" w:rsidRDefault="007D74E1" w:rsidP="009A03A3">
            <w:pPr>
              <w:autoSpaceDE w:val="0"/>
              <w:autoSpaceDN w:val="0"/>
              <w:adjustRightInd w:val="0"/>
              <w:rPr>
                <w:rFonts w:cstheme="minorHAnsi"/>
                <w:b/>
                <w:bCs/>
              </w:rPr>
            </w:pPr>
          </w:p>
        </w:tc>
      </w:tr>
      <w:tr w:rsidR="007D74E1" w:rsidRPr="00075C23" w:rsidTr="00D64095">
        <w:tc>
          <w:tcPr>
            <w:tcW w:w="2660" w:type="dxa"/>
            <w:tcBorders>
              <w:bottom w:val="single" w:sz="4" w:space="0" w:color="auto"/>
            </w:tcBorders>
          </w:tcPr>
          <w:p w:rsidR="007D74E1" w:rsidRDefault="007D74E1" w:rsidP="007D74E1">
            <w:pPr>
              <w:pStyle w:val="Default"/>
              <w:rPr>
                <w:b/>
                <w:bCs/>
                <w:sz w:val="22"/>
                <w:szCs w:val="22"/>
              </w:rPr>
            </w:pPr>
          </w:p>
        </w:tc>
        <w:tc>
          <w:tcPr>
            <w:tcW w:w="6582" w:type="dxa"/>
            <w:tcBorders>
              <w:bottom w:val="single" w:sz="4" w:space="0" w:color="auto"/>
            </w:tcBorders>
          </w:tcPr>
          <w:p w:rsidR="007D74E1" w:rsidRDefault="007D74E1" w:rsidP="007D74E1">
            <w:pPr>
              <w:pStyle w:val="Default"/>
              <w:rPr>
                <w:sz w:val="22"/>
                <w:szCs w:val="22"/>
              </w:rPr>
            </w:pPr>
            <w:r>
              <w:rPr>
                <w:sz w:val="22"/>
                <w:szCs w:val="22"/>
              </w:rPr>
              <w:t xml:space="preserve">Prior to introducing clinical digital tools to NHS services, a strict process of assessment is undertaken to ensure that NHS criteria are met – Digital technology assessment criteria. </w:t>
            </w:r>
          </w:p>
          <w:p w:rsidR="007D74E1" w:rsidRDefault="007D74E1" w:rsidP="007D74E1">
            <w:pPr>
              <w:pStyle w:val="Default"/>
              <w:rPr>
                <w:sz w:val="22"/>
                <w:szCs w:val="22"/>
              </w:rPr>
            </w:pPr>
            <w:r>
              <w:rPr>
                <w:sz w:val="22"/>
                <w:szCs w:val="22"/>
              </w:rP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rsidR="007D74E1" w:rsidRDefault="007D74E1" w:rsidP="007D74E1">
            <w:pPr>
              <w:pStyle w:val="Default"/>
              <w:rPr>
                <w:sz w:val="22"/>
                <w:szCs w:val="22"/>
              </w:rPr>
            </w:pPr>
            <w:r>
              <w:rPr>
                <w:sz w:val="22"/>
                <w:szCs w:val="22"/>
              </w:rPr>
              <w:t xml:space="preserve">The use of clinical digital tools is often linked with ‘risk stratification for case finding’ (please see above section) enabling resources to be used efficiently and effectively for patient care in GP practices. </w:t>
            </w:r>
          </w:p>
          <w:p w:rsidR="007D74E1" w:rsidRDefault="007D74E1" w:rsidP="007D74E1">
            <w:pPr>
              <w:pStyle w:val="Default"/>
              <w:rPr>
                <w:sz w:val="22"/>
                <w:szCs w:val="22"/>
              </w:rPr>
            </w:pPr>
            <w:r>
              <w:rPr>
                <w:sz w:val="22"/>
                <w:szCs w:val="22"/>
              </w:rPr>
              <w:t xml:space="preserve">Although digital technology is used to support healthcare professionals in their work, decisions about patient care are made by a person and not automated. </w:t>
            </w:r>
          </w:p>
          <w:p w:rsidR="007D74E1" w:rsidRDefault="007D74E1" w:rsidP="007D74E1">
            <w:pPr>
              <w:pStyle w:val="Default"/>
              <w:rPr>
                <w:sz w:val="22"/>
                <w:szCs w:val="22"/>
              </w:rPr>
            </w:pPr>
            <w:r>
              <w:rPr>
                <w:sz w:val="22"/>
                <w:szCs w:val="22"/>
              </w:rPr>
              <w:t xml:space="preserve">Digital support tools are being developed/updated and introduced to NHS services regularly. Examples that may be used in GP practices are: </w:t>
            </w:r>
          </w:p>
          <w:p w:rsidR="007D74E1" w:rsidRDefault="007D74E1" w:rsidP="007D74E1">
            <w:pPr>
              <w:pStyle w:val="Default"/>
              <w:numPr>
                <w:ilvl w:val="0"/>
                <w:numId w:val="20"/>
              </w:numPr>
              <w:rPr>
                <w:sz w:val="22"/>
                <w:szCs w:val="22"/>
              </w:rPr>
            </w:pPr>
            <w:r>
              <w:rPr>
                <w:sz w:val="22"/>
                <w:szCs w:val="22"/>
              </w:rPr>
              <w:t xml:space="preserve">• Support for anticoagulation management plans and medications for a specific cohort of patients </w:t>
            </w:r>
          </w:p>
          <w:p w:rsidR="007D74E1" w:rsidRDefault="007D74E1" w:rsidP="007D74E1">
            <w:pPr>
              <w:pStyle w:val="Default"/>
              <w:numPr>
                <w:ilvl w:val="0"/>
                <w:numId w:val="20"/>
              </w:numPr>
              <w:rPr>
                <w:sz w:val="22"/>
                <w:szCs w:val="22"/>
              </w:rPr>
            </w:pPr>
            <w:r>
              <w:rPr>
                <w:sz w:val="22"/>
                <w:szCs w:val="22"/>
              </w:rPr>
              <w:t xml:space="preserve">• A clinical decision support tool to identify potential patients who may benefit from additional health care services or support to help keeping them well and avoiding admission to hospital </w:t>
            </w:r>
          </w:p>
          <w:p w:rsidR="007D74E1" w:rsidRDefault="007D74E1" w:rsidP="007D74E1">
            <w:pPr>
              <w:pStyle w:val="Default"/>
              <w:numPr>
                <w:ilvl w:val="0"/>
                <w:numId w:val="20"/>
              </w:numPr>
              <w:rPr>
                <w:sz w:val="22"/>
                <w:szCs w:val="22"/>
              </w:rPr>
            </w:pPr>
            <w:r>
              <w:rPr>
                <w:sz w:val="22"/>
                <w:szCs w:val="22"/>
              </w:rPr>
              <w:t xml:space="preserve">• A clinical decision support tool that identifies patients at higher risk of cancer at the earliest stage </w:t>
            </w:r>
          </w:p>
          <w:p w:rsidR="007D74E1" w:rsidRDefault="007D74E1" w:rsidP="007D74E1">
            <w:pPr>
              <w:pStyle w:val="Default"/>
              <w:rPr>
                <w:sz w:val="22"/>
                <w:szCs w:val="22"/>
              </w:rPr>
            </w:pPr>
          </w:p>
          <w:p w:rsidR="007D74E1" w:rsidRDefault="007D74E1" w:rsidP="007D74E1">
            <w:pPr>
              <w:pStyle w:val="Default"/>
              <w:rPr>
                <w:sz w:val="22"/>
                <w:szCs w:val="22"/>
              </w:rPr>
            </w:pPr>
            <w:r>
              <w:rPr>
                <w:sz w:val="22"/>
                <w:szCs w:val="22"/>
              </w:rPr>
              <w:t xml:space="preserve">We will use and share your information using these digital tools for your direct care purposes. </w:t>
            </w:r>
          </w:p>
          <w:p w:rsidR="007D74E1" w:rsidRDefault="007D74E1" w:rsidP="007D74E1">
            <w:pPr>
              <w:pStyle w:val="Default"/>
              <w:rPr>
                <w:sz w:val="22"/>
                <w:szCs w:val="22"/>
              </w:rPr>
            </w:pPr>
            <w:r>
              <w:rPr>
                <w:sz w:val="22"/>
                <w:szCs w:val="22"/>
              </w:rP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rsidR="007D74E1" w:rsidRDefault="007D74E1" w:rsidP="007D74E1">
            <w:pPr>
              <w:pStyle w:val="Default"/>
              <w:rPr>
                <w:sz w:val="22"/>
                <w:szCs w:val="22"/>
              </w:rPr>
            </w:pPr>
            <w:r>
              <w:rPr>
                <w:b/>
                <w:bCs/>
                <w:sz w:val="22"/>
                <w:szCs w:val="22"/>
              </w:rPr>
              <w:t xml:space="preserve">Legal Basis </w:t>
            </w:r>
          </w:p>
          <w:p w:rsidR="007D74E1" w:rsidRDefault="007D74E1" w:rsidP="007D74E1">
            <w:pPr>
              <w:pStyle w:val="Default"/>
              <w:rPr>
                <w:b/>
                <w:bCs/>
                <w:sz w:val="22"/>
                <w:szCs w:val="22"/>
              </w:rPr>
            </w:pPr>
            <w:r>
              <w:rPr>
                <w:sz w:val="22"/>
                <w:szCs w:val="22"/>
              </w:rPr>
              <w:t xml:space="preserve">Article 6(1)e ‘exercise of official authority’ and article 9(2)h ‘Provision of health and care’ </w:t>
            </w: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bookmarkStart w:id="0" w:name="_GoBack"/>
            <w:bookmarkEnd w:id="0"/>
            <w:r w:rsidRPr="00075C23">
              <w:rPr>
                <w:rFonts w:eastAsia="Calibri" w:cstheme="minorHAnsi"/>
                <w:bCs/>
              </w:rPr>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D64095">
              <w:rPr>
                <w:rFonts w:eastAsia="Calibri" w:cstheme="minorHAnsi"/>
                <w:bCs/>
              </w:rPr>
              <w:t xml:space="preserve"> </w:t>
            </w:r>
            <w:r w:rsidR="00B91478" w:rsidRPr="00075C23">
              <w:rPr>
                <w:rFonts w:eastAsia="Calibri" w:cstheme="minorHAnsi"/>
                <w:bCs/>
              </w:rPr>
              <w:t>[Or insert relevant link] 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rsidR="009C757E" w:rsidRPr="00075C23" w:rsidRDefault="009C757E" w:rsidP="009A03A3">
            <w:pPr>
              <w:rPr>
                <w:rFonts w:eastAsia="Calibri" w:cstheme="minorHAnsi"/>
                <w:b/>
                <w:bCs/>
              </w:rPr>
            </w:pPr>
          </w:p>
          <w:p w:rsidR="00545647" w:rsidRDefault="00D64095" w:rsidP="00D64095">
            <w:pPr>
              <w:jc w:val="both"/>
              <w:rPr>
                <w:rFonts w:eastAsia="Calibri" w:cstheme="minorHAnsi"/>
                <w:bCs/>
              </w:rPr>
            </w:pPr>
            <w:r>
              <w:rPr>
                <w:rFonts w:eastAsia="Calibri" w:cstheme="minorHAnsi"/>
                <w:b/>
                <w:bCs/>
              </w:rPr>
              <w:lastRenderedPageBreak/>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A82D1F">
              <w:rPr>
                <w:rFonts w:eastAsia="Calibri" w:cstheme="minorHAnsi"/>
                <w:bCs/>
              </w:rPr>
              <w:t>Somerset County Council</w:t>
            </w:r>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rsidR="00BB3A76" w:rsidRPr="00075C23" w:rsidRDefault="00BB3A76" w:rsidP="00BB3A76">
            <w:pPr>
              <w:rPr>
                <w:rFonts w:eastAsia="Calibri" w:cstheme="minorHAnsi"/>
                <w:b/>
                <w:bCs/>
              </w:rPr>
            </w:pPr>
          </w:p>
          <w:p w:rsidR="00BB3A76" w:rsidRDefault="00BB3A76" w:rsidP="00BB3A76">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Yeovil District Hospital Foundation Trust, Somerset NHS Foundation Trust</w:t>
            </w:r>
            <w:r>
              <w:rPr>
                <w:rFonts w:eastAsia="Calibri" w:cstheme="minorHAnsi"/>
                <w:bCs/>
              </w:rPr>
              <w:t xml:space="preserve"> </w:t>
            </w:r>
            <w:r w:rsidR="00A82D1F">
              <w:rPr>
                <w:rFonts w:eastAsia="Calibri" w:cstheme="minorHAnsi"/>
                <w:bCs/>
              </w:rPr>
              <w:t xml:space="preserve">and South Western Ambulance Service </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4" w:tgtFrame="_blank" w:history="1">
              <w:r w:rsidR="00147C25">
                <w:rPr>
                  <w:rStyle w:val="Hyperlink"/>
                  <w:color w:val="auto"/>
                </w:rPr>
                <w:t>available on CQC website</w:t>
              </w:r>
            </w:hyperlink>
            <w:r>
              <w:rPr>
                <w:rStyle w:val="Strong"/>
              </w:rPr>
              <w:t xml:space="preserve">: </w:t>
            </w:r>
            <w:hyperlink r:id="rId15" w:history="1">
              <w:r w:rsidRPr="00F0049C">
                <w:rPr>
                  <w:rStyle w:val="Hyperlink"/>
                  <w:color w:val="auto"/>
                </w:rPr>
                <w:t>https://www.cqc.org.uk/about-us/our-policies/privacy-statement</w:t>
              </w:r>
            </w:hyperlink>
          </w:p>
          <w:p w:rsidR="00B91478" w:rsidRPr="00075C23" w:rsidRDefault="00B91478"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lastRenderedPageBreak/>
              <w:t>Our supplier does not access identifiable records without permission of 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lastRenderedPageBreak/>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F3566A" w:rsidRDefault="004D5CEC"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lastRenderedPageBreak/>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A82D1F">
        <w:rPr>
          <w:rFonts w:eastAsia="Times New Roman" w:cstheme="minorHAnsi"/>
          <w:color w:val="000000" w:themeColor="text1"/>
          <w:lang w:val="en-US" w:eastAsia="en-GB"/>
        </w:rPr>
        <w:t>on 27</w:t>
      </w:r>
      <w:r w:rsidR="00A82D1F" w:rsidRPr="00A82D1F">
        <w:rPr>
          <w:rFonts w:eastAsia="Times New Roman" w:cstheme="minorHAnsi"/>
          <w:color w:val="000000" w:themeColor="text1"/>
          <w:vertAlign w:val="superscript"/>
          <w:lang w:val="en-US" w:eastAsia="en-GB"/>
        </w:rPr>
        <w:t>th</w:t>
      </w:r>
      <w:r w:rsidR="00A82D1F">
        <w:rPr>
          <w:rFonts w:eastAsia="Times New Roman" w:cstheme="minorHAnsi"/>
          <w:color w:val="000000" w:themeColor="text1"/>
          <w:lang w:val="en-US" w:eastAsia="en-GB"/>
        </w:rPr>
        <w:t xml:space="preserve"> October 2020.</w:t>
      </w:r>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4D5CEC">
          <w:rPr>
            <w:noProof/>
          </w:rPr>
          <w:t>6</w:t>
        </w:r>
        <w:r>
          <w:rPr>
            <w:noProof/>
          </w:rPr>
          <w:fldChar w:fldCharType="end"/>
        </w:r>
      </w:p>
    </w:sdtContent>
  </w:sdt>
  <w:p w:rsidR="005A3EDB" w:rsidRDefault="005A3EDB">
    <w:pPr>
      <w:pStyle w:val="Footer"/>
    </w:pPr>
    <w:r>
      <w:t xml:space="preserve">GP </w:t>
    </w:r>
    <w:r w:rsidR="00BB3A76">
      <w:t>FPN layer 2</w:t>
    </w:r>
    <w:r w:rsidR="006636D3">
      <w:t xml:space="preserve"> – updated 21 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6FBFE"/>
    <w:multiLevelType w:val="hybridMultilevel"/>
    <w:tmpl w:val="CA20B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C1CF40"/>
    <w:multiLevelType w:val="hybridMultilevel"/>
    <w:tmpl w:val="EDE5E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6">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7">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0"/>
  </w:num>
  <w:num w:numId="6">
    <w:abstractNumId w:val="9"/>
  </w:num>
  <w:num w:numId="7">
    <w:abstractNumId w:val="14"/>
  </w:num>
  <w:num w:numId="8">
    <w:abstractNumId w:val="7"/>
  </w:num>
  <w:num w:numId="9">
    <w:abstractNumId w:val="15"/>
  </w:num>
  <w:num w:numId="10">
    <w:abstractNumId w:val="18"/>
  </w:num>
  <w:num w:numId="11">
    <w:abstractNumId w:val="8"/>
  </w:num>
  <w:num w:numId="12">
    <w:abstractNumId w:val="19"/>
  </w:num>
  <w:num w:numId="13">
    <w:abstractNumId w:val="16"/>
  </w:num>
  <w:num w:numId="14">
    <w:abstractNumId w:val="11"/>
  </w:num>
  <w:num w:numId="15">
    <w:abstractNumId w:val="6"/>
  </w:num>
  <w:num w:numId="16">
    <w:abstractNumId w:val="13"/>
  </w:num>
  <w:num w:numId="17">
    <w:abstractNumId w:val="3"/>
  </w:num>
  <w:num w:numId="18">
    <w:abstractNumId w:val="12"/>
  </w:num>
  <w:num w:numId="19">
    <w:abstractNumId w:val="17"/>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CEC"/>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36203"/>
    <w:rsid w:val="00641C47"/>
    <w:rsid w:val="00643838"/>
    <w:rsid w:val="0064733F"/>
    <w:rsid w:val="006636D3"/>
    <w:rsid w:val="00672CF4"/>
    <w:rsid w:val="00672FCF"/>
    <w:rsid w:val="00694696"/>
    <w:rsid w:val="00696BF9"/>
    <w:rsid w:val="00697AA9"/>
    <w:rsid w:val="006A0F49"/>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4E1"/>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2D1F"/>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F77D-A4DA-48B6-88B9-80B2FE0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Sypulek Agnieszka (Penn Hill Surgery)</cp:lastModifiedBy>
  <cp:revision>2</cp:revision>
  <cp:lastPrinted>2021-09-21T11:27:00Z</cp:lastPrinted>
  <dcterms:created xsi:type="dcterms:W3CDTF">2021-09-21T11:43:00Z</dcterms:created>
  <dcterms:modified xsi:type="dcterms:W3CDTF">2021-09-21T11:43:00Z</dcterms:modified>
</cp:coreProperties>
</file>